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1F" w:rsidRDefault="00B66077">
      <w:hyperlink r:id="rId6" w:history="1">
        <w:r w:rsidRPr="00282BF0">
          <w:rPr>
            <w:rStyle w:val="Hypertextovprepojenie"/>
          </w:rPr>
          <w:t>https://www.uvzsr.sk/index.php?option=com_content&amp;view=article&amp;id=4961:informacia-k-novelam-vyhlaok-prevadzky-hp-hranice&amp;catid=56:tlaove-spravy&amp;Itemid=62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2"/>
        <w:gridCol w:w="270"/>
        <w:gridCol w:w="285"/>
      </w:tblGrid>
      <w:tr w:rsidR="00B66077" w:rsidTr="00B66077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B66077" w:rsidRDefault="00B66077">
            <w:pPr>
              <w:rPr>
                <w:rFonts w:ascii="Helvetica" w:hAnsi="Helvetica"/>
                <w:color w:val="669900"/>
                <w:sz w:val="27"/>
                <w:szCs w:val="27"/>
              </w:rPr>
            </w:pPr>
            <w:r>
              <w:rPr>
                <w:rFonts w:ascii="Helvetica" w:hAnsi="Helvetica"/>
                <w:color w:val="669900"/>
                <w:sz w:val="27"/>
                <w:szCs w:val="27"/>
              </w:rPr>
              <w:t xml:space="preserve">Informácia k novelám vyhlášok (prevádzky, HP, hranice) </w:t>
            </w:r>
          </w:p>
        </w:tc>
        <w:tc>
          <w:tcPr>
            <w:tcW w:w="5000" w:type="pct"/>
            <w:vAlign w:val="center"/>
            <w:hideMark/>
          </w:tcPr>
          <w:p w:rsidR="00B66077" w:rsidRDefault="00B66077">
            <w:pPr>
              <w:jc w:val="right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Helvetica" w:hAnsi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>
                  <wp:extent cx="128905" cy="128905"/>
                  <wp:effectExtent l="0" t="0" r="4445" b="4445"/>
                  <wp:docPr id="2" name="Obrázok 2" descr="Tlačiť">
                    <a:hlinkClick xmlns:a="http://schemas.openxmlformats.org/drawingml/2006/main" r:id="rId7" tooltip="&quot;Tlačiť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lačiť">
                            <a:hlinkClick r:id="rId7" tooltip="&quot;Tlačiť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B66077" w:rsidRDefault="00B66077">
            <w:pPr>
              <w:jc w:val="right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Helvetica" w:hAnsi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>
                  <wp:extent cx="128905" cy="128905"/>
                  <wp:effectExtent l="0" t="0" r="4445" b="4445"/>
                  <wp:docPr id="1" name="Obrázok 1" descr="E-mail">
                    <a:hlinkClick xmlns:a="http://schemas.openxmlformats.org/drawingml/2006/main" r:id="rId9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-mail">
                            <a:hlinkClick r:id="rId9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6077" w:rsidRDefault="00B66077" w:rsidP="00B66077">
      <w:pPr>
        <w:rPr>
          <w:rFonts w:ascii="Helvetica" w:hAnsi="Helvetica"/>
          <w:vanish/>
          <w:color w:val="333333"/>
          <w:sz w:val="18"/>
          <w:szCs w:val="1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42"/>
      </w:tblGrid>
      <w:tr w:rsidR="00B66077" w:rsidTr="00B66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6077" w:rsidRDefault="001A06BE">
            <w:pPr>
              <w:rPr>
                <w:rFonts w:ascii="Helvetica" w:hAnsi="Helvetica"/>
                <w:color w:val="333333"/>
                <w:sz w:val="18"/>
                <w:szCs w:val="18"/>
              </w:rPr>
            </w:pPr>
            <w:hyperlink r:id="rId11" w:history="1">
              <w:r w:rsidR="00B66077">
                <w:rPr>
                  <w:rStyle w:val="Hypertextovprepojenie"/>
                  <w:rFonts w:ascii="Helvetica" w:hAnsi="Helvetica"/>
                  <w:sz w:val="18"/>
                  <w:szCs w:val="18"/>
                </w:rPr>
                <w:t xml:space="preserve">Tlačové správy </w:t>
              </w:r>
            </w:hyperlink>
          </w:p>
        </w:tc>
      </w:tr>
      <w:tr w:rsidR="00B66077" w:rsidTr="00B66077">
        <w:trPr>
          <w:tblCellSpacing w:w="15" w:type="dxa"/>
        </w:trPr>
        <w:tc>
          <w:tcPr>
            <w:tcW w:w="0" w:type="auto"/>
            <w:hideMark/>
          </w:tcPr>
          <w:p w:rsidR="00B66077" w:rsidRPr="001A06BE" w:rsidRDefault="00B66077">
            <w:pPr>
              <w:rPr>
                <w:rFonts w:ascii="Arial" w:hAnsi="Arial" w:cs="Arial"/>
                <w:color w:val="999999"/>
                <w:sz w:val="24"/>
                <w:szCs w:val="24"/>
              </w:rPr>
            </w:pPr>
            <w:r w:rsidRPr="001A06BE">
              <w:rPr>
                <w:rFonts w:ascii="Arial" w:hAnsi="Arial" w:cs="Arial"/>
                <w:color w:val="FF0000"/>
                <w:sz w:val="24"/>
                <w:szCs w:val="24"/>
              </w:rPr>
              <w:t xml:space="preserve">Streda, 22. december 2021 22:43 </w:t>
            </w:r>
            <w:bookmarkStart w:id="0" w:name="_GoBack"/>
            <w:bookmarkEnd w:id="0"/>
          </w:p>
        </w:tc>
      </w:tr>
      <w:tr w:rsidR="00B66077" w:rsidTr="00B66077">
        <w:trPr>
          <w:tblCellSpacing w:w="15" w:type="dxa"/>
        </w:trPr>
        <w:tc>
          <w:tcPr>
            <w:tcW w:w="0" w:type="auto"/>
            <w:hideMark/>
          </w:tcPr>
          <w:p w:rsidR="00B66077" w:rsidRDefault="00B66077" w:rsidP="000A41A8">
            <w:pPr>
              <w:pStyle w:val="Normlnywebov"/>
              <w:spacing w:before="0" w:beforeAutospacing="0" w:after="0" w:afterAutospacing="0"/>
              <w:ind w:firstLine="709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u w:val="single"/>
              </w:rPr>
              <w:t>1. Zmena definície režimu OP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u w:val="single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u w:val="single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Vo vyhláškach k činnosti prevádzok a organizácii hromadných podujatí sa </w:t>
            </w:r>
            <w:r>
              <w:rPr>
                <w:rFonts w:ascii="Helvetica" w:hAnsi="Helvetica"/>
                <w:color w:val="333333"/>
                <w:sz w:val="18"/>
                <w:szCs w:val="18"/>
              </w:rPr>
              <w:t xml:space="preserve">mení definícia osoby v režime OP. </w:t>
            </w:r>
            <w:r>
              <w:rPr>
                <w:rFonts w:ascii="Helvetica" w:hAnsi="Helvetica"/>
                <w:color w:val="333333"/>
                <w:sz w:val="18"/>
                <w:szCs w:val="18"/>
                <w:u w:val="single"/>
              </w:rPr>
              <w:t>Účinnosť zmien je od 23. decembra 2021.</w:t>
            </w:r>
            <w:r>
              <w:rPr>
                <w:rFonts w:ascii="Helvetica" w:hAnsi="Helvetica"/>
                <w:color w:val="333333"/>
                <w:sz w:val="18"/>
                <w:szCs w:val="18"/>
                <w:u w:val="single"/>
              </w:rPr>
              <w:br/>
            </w:r>
            <w:r>
              <w:rPr>
                <w:rFonts w:ascii="Helvetica" w:hAnsi="Helvetica"/>
                <w:color w:val="333333"/>
                <w:sz w:val="18"/>
                <w:szCs w:val="18"/>
                <w:u w:val="single"/>
              </w:rPr>
              <w:br/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Novely vyhlášok nájdete tu:</w:t>
            </w:r>
          </w:p>
          <w:p w:rsidR="00B66077" w:rsidRDefault="001A06BE">
            <w:pPr>
              <w:pStyle w:val="Normlnywebov"/>
              <w:spacing w:before="0" w:beforeAutospacing="0" w:after="0" w:afterAutospacing="0"/>
              <w:rPr>
                <w:rFonts w:ascii="Helvetica" w:hAnsi="Helvetica"/>
                <w:color w:val="333333"/>
                <w:sz w:val="18"/>
                <w:szCs w:val="18"/>
              </w:rPr>
            </w:pPr>
            <w:hyperlink r:id="rId12" w:tgtFrame="_blank" w:history="1">
              <w:r w:rsidR="00B66077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Vyhláška 311</w:t>
              </w:r>
            </w:hyperlink>
          </w:p>
          <w:p w:rsidR="00B66077" w:rsidRDefault="001A06BE">
            <w:pPr>
              <w:pStyle w:val="Normlnywebov"/>
              <w:spacing w:before="0" w:beforeAutospacing="0" w:after="0" w:afterAutospacing="0"/>
              <w:rPr>
                <w:rFonts w:ascii="Helvetica" w:hAnsi="Helvetica"/>
                <w:color w:val="333333"/>
                <w:sz w:val="18"/>
                <w:szCs w:val="18"/>
              </w:rPr>
            </w:pPr>
            <w:hyperlink r:id="rId13" w:tgtFrame="_blank" w:history="1">
              <w:r w:rsidR="00B66077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Vyhláška 310</w:t>
              </w:r>
              <w:r w:rsidR="00B66077">
                <w:rPr>
                  <w:rFonts w:ascii="Arial" w:hAnsi="Arial" w:cs="Arial"/>
                  <w:color w:val="135CAE"/>
                  <w:sz w:val="20"/>
                  <w:szCs w:val="20"/>
                </w:rPr>
                <w:br/>
              </w:r>
              <w:r w:rsidR="00B66077">
                <w:rPr>
                  <w:rFonts w:ascii="Arial" w:hAnsi="Arial" w:cs="Arial"/>
                  <w:color w:val="135CAE"/>
                  <w:sz w:val="20"/>
                  <w:szCs w:val="20"/>
                </w:rPr>
                <w:br/>
              </w:r>
              <w:r w:rsidR="00B66077">
                <w:rPr>
                  <w:rFonts w:ascii="Arial" w:hAnsi="Arial" w:cs="Arial"/>
                  <w:color w:val="135CAE"/>
                  <w:sz w:val="20"/>
                  <w:szCs w:val="20"/>
                </w:rPr>
                <w:br/>
              </w:r>
            </w:hyperlink>
            <w:r w:rsidR="00B66077">
              <w:rPr>
                <w:rFonts w:ascii="Arial" w:hAnsi="Arial" w:cs="Arial"/>
                <w:color w:val="333333"/>
                <w:sz w:val="20"/>
                <w:szCs w:val="20"/>
              </w:rPr>
              <w:t>Medzi osoby v režime OP zaraďujeme po novom aj</w:t>
            </w:r>
            <w:r w:rsidR="00B66077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osobu, ktorá má kontraindikáciu očkovania proti COVID-19</w:t>
            </w:r>
            <w:r w:rsidR="00B66077">
              <w:rPr>
                <w:rFonts w:ascii="Arial" w:hAnsi="Arial" w:cs="Arial"/>
                <w:color w:val="333333"/>
                <w:sz w:val="20"/>
                <w:szCs w:val="20"/>
              </w:rPr>
              <w:t xml:space="preserve"> v zmysle odborného usmernenia Ministerstva zdravotníctva SR,</w:t>
            </w:r>
            <w:r w:rsidR="00B66077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a ktorá je zároveň schopná preukázať sa:</w:t>
            </w:r>
          </w:p>
          <w:p w:rsidR="00B66077" w:rsidRDefault="00B66077" w:rsidP="00B6607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60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certifikátom o výnimke z očkovania podľa odborného usmernenia MZ SR, ktorý je v prílohe č. 1 uvedených vyhlášok</w:t>
            </w:r>
          </w:p>
          <w:p w:rsidR="00B66077" w:rsidRDefault="00B66077" w:rsidP="00B6607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60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negatívnym výsledkom RT- PCR alebo LAMP testu nie starším ako 72 hodín od odberu alebo negatívneho výsledku Ag testu nie starším ako 48 hodín od odberu.</w:t>
            </w:r>
          </w:p>
          <w:p w:rsidR="00B66077" w:rsidRDefault="00B66077">
            <w:pPr>
              <w:pStyle w:val="Normlnywebov"/>
              <w:spacing w:before="240" w:beforeAutospacing="0" w:after="240" w:afterAutospacing="0"/>
              <w:jc w:val="both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Odborné usmernenie MZ SR vo veci kontraindikácie očkovania proti COVID-19 nájdete tu: </w:t>
            </w:r>
            <w:hyperlink r:id="rId14" w:tgtFrame="_blank" w:history="1">
              <w:r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Metodické usmernenia</w:t>
              </w:r>
            </w:hyperlink>
            <w:r>
              <w:rPr>
                <w:rFonts w:ascii="Arial" w:hAnsi="Arial" w:cs="Arial"/>
                <w:color w:val="333333"/>
                <w:sz w:val="20"/>
                <w:szCs w:val="20"/>
              </w:rPr>
              <w:t>.</w:t>
            </w:r>
          </w:p>
          <w:p w:rsidR="00B66077" w:rsidRDefault="00B66077">
            <w:pPr>
              <w:pStyle w:val="Normlnywebov"/>
              <w:spacing w:before="240" w:beforeAutospacing="0" w:after="240" w:afterAutospacing="0"/>
              <w:jc w:val="both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Po novom je teda režim OP nasledovný:</w:t>
            </w:r>
          </w:p>
          <w:p w:rsidR="00B66077" w:rsidRDefault="00B66077">
            <w:pPr>
              <w:pStyle w:val="Normlnywebov"/>
              <w:spacing w:before="0" w:beforeAutospacing="0" w:after="0" w:afterAutospacing="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Očkovaní (O):</w:t>
            </w:r>
          </w:p>
          <w:p w:rsidR="00B66077" w:rsidRDefault="00B66077" w:rsidP="00B6607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osoby najmenej 14 dní a najviac 1 rok po aplikácii druhej dávky očkovacej látky proti ochoreniu COVID-19 s dvojdávkovou schémou</w:t>
            </w:r>
          </w:p>
          <w:p w:rsidR="00B66077" w:rsidRDefault="00B66077" w:rsidP="00B6607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osoby najmenej 21 dní a najviac 1 rok po aplikácii prvej dávky očkovacej látky proti ochoreniu COVID-19 s jednodávkovou schémou</w:t>
            </w:r>
          </w:p>
          <w:p w:rsidR="00B66077" w:rsidRDefault="00B66077" w:rsidP="00B6607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osoby najmenej 14 dní a najviac 1 rok po aplikácii prvej dávky očkovacej látky proti ochoreniu COVID-19, ak bola prvá dávka podaná do 180 dní od prekonania ochorenia</w:t>
            </w:r>
          </w:p>
          <w:p w:rsidR="00B66077" w:rsidRDefault="00B66077" w:rsidP="00B6607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deti do 12 rokov a dvoch mesiacov veku</w:t>
            </w:r>
          </w:p>
          <w:p w:rsidR="00B66077" w:rsidRDefault="00B66077" w:rsidP="00B6607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osoba, ktorá má kontraindikáciu očkovania proti COVID-19 v zmysle odborného usmernenia MZ SR a zároveň sa preukáže:</w:t>
            </w:r>
          </w:p>
          <w:p w:rsidR="00B66077" w:rsidRDefault="00B66077" w:rsidP="00B6607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6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certifikátom o výnimke z očkovania podľa odborného usmernenia MZ SR, ktorý je v prílohe č. 1 vyhlášky</w:t>
            </w:r>
          </w:p>
          <w:p w:rsidR="00B66077" w:rsidRDefault="00B66077" w:rsidP="00B6607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6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negatívnym výsledkom RT-PCR alebo LAMP testu nie starším ako 72 hodín od odberu alebo negatívneho výsledku Ag testu nie starším ako 48 hodín od odberu.</w:t>
            </w:r>
          </w:p>
          <w:p w:rsidR="00B66077" w:rsidRDefault="00B66077">
            <w:pPr>
              <w:pStyle w:val="Normlnywebov"/>
              <w:spacing w:before="0" w:beforeAutospacing="0" w:after="0" w:afterAutospacing="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 </w:t>
            </w:r>
          </w:p>
          <w:p w:rsidR="00B66077" w:rsidRDefault="00B66077">
            <w:pPr>
              <w:pStyle w:val="Normlnywebov"/>
              <w:spacing w:before="0" w:beforeAutospacing="0" w:after="0" w:afterAutospacing="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Prekonaní (P):</w:t>
            </w:r>
          </w:p>
          <w:p w:rsidR="00B66077" w:rsidRDefault="00B66077" w:rsidP="00B6607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60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osoby, ktoré prekonali COVID-19 pred nie viac ako 180 dňami. Uvedenú skutočnosť je potrebné 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lastRenderedPageBreak/>
              <w:t>preukázať na základe pozitívneho výsledku RT-PCR testu, u detí do 12 rokov aj na základe potvrdenia od všeobecného lekára pre deti a dorast vydaného na základe antigénového testu vykonanom v MOM, vydaného do 15.11.2021.</w:t>
            </w:r>
          </w:p>
          <w:p w:rsidR="00B66077" w:rsidRDefault="00B66077">
            <w:pPr>
              <w:pStyle w:val="Normlnywebov"/>
              <w:spacing w:before="0" w:beforeAutospacing="0" w:after="240" w:afterAutospacing="0"/>
              <w:jc w:val="both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Potvrdenia o očkovaní, negatívnom výsledku testu alebo prekonaní COVID-19 možno nahradiť digitálnym COVID preukazom EÚ. V opačnom prípade je potrebné tieto skutočnosti preukazovať dokladom, z ktorého je určiteľná identita preukazujúcej sa osoby.</w:t>
            </w:r>
          </w:p>
          <w:p w:rsidR="00B66077" w:rsidRDefault="00B66077">
            <w:pPr>
              <w:pStyle w:val="Normlnywebov"/>
              <w:spacing w:before="0" w:beforeAutospacing="0" w:after="0" w:afterAutospacing="0"/>
              <w:ind w:firstLine="709"/>
              <w:jc w:val="both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u w:val="single"/>
              </w:rPr>
              <w:t>2. Zmena kapacít v prevádzkach a na hromadných podujatiach</w:t>
            </w:r>
          </w:p>
          <w:p w:rsidR="00B66077" w:rsidRDefault="00B66077">
            <w:pPr>
              <w:pStyle w:val="Normlnywebov"/>
              <w:spacing w:before="0" w:beforeAutospacing="0" w:after="0" w:afterAutospacing="0"/>
              <w:jc w:val="both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Kapacitné obmedzenia v prevádzkach a na hromadných podujatiach sa menia z 25 m2/osobu na 15 m2/osobu. Zmena vyplynula z návrhu MZ SR, ktoré reagovalo na aplikačnú prax. (V prevádzkach i na HP je totiž potrebné držať si odstup od iných ľudí v dvojmetrovej vzdialenosti, čo vychádza na plochu 16 m2/osobu. Vraciame sa tak k zaužívanému kapacitnému limitu 15m2/osobu.)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Účinnosť zmien je od 23. decembra 2021.</w:t>
            </w:r>
          </w:p>
          <w:p w:rsidR="00B66077" w:rsidRDefault="00B66077">
            <w:pPr>
              <w:pStyle w:val="Normlnywebov"/>
              <w:spacing w:before="0" w:beforeAutospacing="0" w:after="0" w:afterAutospacing="0"/>
              <w:jc w:val="both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u w:val="single"/>
              </w:rPr>
              <w:t>Novely vyhlášok nájdete tu:</w:t>
            </w:r>
          </w:p>
          <w:p w:rsidR="00B66077" w:rsidRDefault="001A06BE">
            <w:pPr>
              <w:pStyle w:val="Normlnywebov"/>
              <w:spacing w:before="0" w:beforeAutospacing="0" w:after="0" w:afterAutospacing="0"/>
              <w:jc w:val="both"/>
              <w:rPr>
                <w:rFonts w:ascii="Helvetica" w:hAnsi="Helvetica"/>
                <w:color w:val="333333"/>
                <w:sz w:val="18"/>
                <w:szCs w:val="18"/>
              </w:rPr>
            </w:pPr>
            <w:hyperlink r:id="rId15" w:tgtFrame="_blank" w:history="1">
              <w:r w:rsidR="00B66077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Vyhláška 311</w:t>
              </w:r>
            </w:hyperlink>
          </w:p>
          <w:p w:rsidR="00B66077" w:rsidRDefault="001A06BE" w:rsidP="000A41A8">
            <w:pPr>
              <w:pStyle w:val="Normlnywebov"/>
              <w:spacing w:before="0" w:beforeAutospacing="0" w:after="0" w:afterAutospacing="0"/>
              <w:rPr>
                <w:rFonts w:ascii="Helvetica" w:hAnsi="Helvetica"/>
                <w:color w:val="333333"/>
                <w:sz w:val="18"/>
                <w:szCs w:val="18"/>
              </w:rPr>
            </w:pPr>
            <w:hyperlink r:id="rId16" w:tgtFrame="_blank" w:history="1">
              <w:r w:rsidR="00B66077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Vyhláška 310</w:t>
              </w:r>
              <w:r w:rsidR="00B66077">
                <w:rPr>
                  <w:rFonts w:ascii="Arial" w:hAnsi="Arial" w:cs="Arial"/>
                  <w:color w:val="135CAE"/>
                  <w:sz w:val="20"/>
                  <w:szCs w:val="20"/>
                </w:rPr>
                <w:br/>
              </w:r>
              <w:r w:rsidR="00B66077">
                <w:rPr>
                  <w:rFonts w:ascii="Arial" w:hAnsi="Arial" w:cs="Arial"/>
                  <w:color w:val="135CAE"/>
                  <w:sz w:val="20"/>
                  <w:szCs w:val="20"/>
                </w:rPr>
                <w:br/>
              </w:r>
            </w:hyperlink>
          </w:p>
          <w:p w:rsidR="00B66077" w:rsidRDefault="00B66077">
            <w:pPr>
              <w:pStyle w:val="Normlnywebov"/>
              <w:spacing w:before="0" w:beforeAutospacing="0" w:after="0" w:afterAutospacing="0"/>
              <w:ind w:firstLine="709"/>
              <w:jc w:val="both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u w:val="single"/>
              </w:rPr>
              <w:t>3. Zmeny v hraničnej vyhláške</w:t>
            </w:r>
          </w:p>
          <w:p w:rsidR="00B66077" w:rsidRDefault="00B66077">
            <w:pPr>
              <w:pStyle w:val="Normlnywebov"/>
              <w:spacing w:before="0" w:beforeAutospacing="0" w:after="0" w:afterAutospacing="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u w:val="single"/>
              </w:rPr>
              <w:br/>
              <w:t>Účinnosť vyhlášky: 23. decembra 2021</w:t>
            </w:r>
          </w:p>
          <w:p w:rsidR="00B66077" w:rsidRDefault="00B66077">
            <w:pPr>
              <w:pStyle w:val="Normlnywebov"/>
              <w:spacing w:before="0" w:beforeAutospacing="0" w:after="0" w:afterAutospacing="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u w:val="single"/>
              </w:rPr>
              <w:t xml:space="preserve">Novelu vyhlášky nájdete tu: </w:t>
            </w:r>
            <w:r>
              <w:rPr>
                <w:rFonts w:ascii="Arial" w:hAnsi="Arial" w:cs="Arial"/>
                <w:color w:val="333333"/>
                <w:sz w:val="20"/>
                <w:szCs w:val="20"/>
                <w:u w:val="single"/>
              </w:rPr>
              <w:br/>
            </w:r>
            <w:hyperlink r:id="rId17" w:tgtFrame="_blank" w:history="1">
              <w:r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Vyhláška 309</w:t>
              </w:r>
            </w:hyperlink>
            <w:hyperlink r:id="rId18" w:history="1">
              <w:r>
                <w:rPr>
                  <w:rFonts w:ascii="Arial" w:hAnsi="Arial" w:cs="Arial"/>
                  <w:color w:val="135CAE"/>
                  <w:sz w:val="20"/>
                  <w:szCs w:val="20"/>
                </w:rPr>
                <w:br/>
              </w:r>
              <w:r>
                <w:rPr>
                  <w:rFonts w:ascii="Arial" w:hAnsi="Arial" w:cs="Arial"/>
                  <w:color w:val="135CAE"/>
                  <w:sz w:val="20"/>
                  <w:szCs w:val="20"/>
                </w:rPr>
                <w:br/>
              </w:r>
            </w:hyperlink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A) V zozname rizikových krajín, ktorý bol stanovený pre variant omikron, po novom nebudú Seychely, Izrael a Hong Kong: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zoznam sa pripravoval v krátkom čase s vtedy  dostupnými informáciami, na základe nových údajov sa zoznam prehodnotil.</w:t>
            </w:r>
            <w:r>
              <w:rPr>
                <w:rFonts w:ascii="Helvetica" w:hAnsi="Helvetica"/>
                <w:color w:val="333333"/>
                <w:sz w:val="18"/>
                <w:szCs w:val="18"/>
              </w:rPr>
              <w:br/>
            </w:r>
            <w:r>
              <w:rPr>
                <w:rFonts w:ascii="Helvetica" w:hAnsi="Helvetica"/>
                <w:color w:val="333333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Po novom teda platí, že domáca izolácia bez ohľadu na očkovanie sa nariaďuje po príchode na Slovensko z Juhoafrickej republiky, Botswany, Namíbie, Lesotha, Eswaniti, Mozambiku a Zimbabwe.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Karanténa sa v prípade bezpríznakového priebehu končí: </w:t>
            </w:r>
          </w:p>
          <w:p w:rsidR="00B66077" w:rsidRDefault="00B66077" w:rsidP="00B6607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60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bez absolvovania testu dovŕšením 14. dňa po vstupe na územie Slovenska,</w:t>
            </w:r>
          </w:p>
          <w:p w:rsidR="00B66077" w:rsidRDefault="00B66077" w:rsidP="00B6607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600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v prípade testovania po obdržaní dvoch negatívnych výsledkov RT-PCR testu, pričom prvý test je možné absolvovať najskôr na prvý deň po príchode a druhý na ôsmy deň po príchode </w:t>
            </w:r>
          </w:p>
          <w:p w:rsidR="00B66077" w:rsidRDefault="00B66077">
            <w:pPr>
              <w:pStyle w:val="Normlnywebov"/>
              <w:spacing w:before="0" w:beforeAutospacing="0" w:after="0" w:afterAutospacing="0"/>
              <w:jc w:val="both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Deti do 12 rokov a dvoch mesiacov veku sa nemusia testovať, ich karanténa končí zároveň s ostatnými osobami v spoločnej domácnosti. </w:t>
            </w:r>
          </w:p>
          <w:p w:rsidR="00B66077" w:rsidRDefault="00B66077">
            <w:pPr>
              <w:pStyle w:val="Normlnywebov"/>
              <w:spacing w:before="0" w:beforeAutospacing="0" w:after="0" w:afterAutospacing="0"/>
              <w:jc w:val="both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Tieto lehoty platia iba v prípade, ak sa u osôb neobjavia žiadne príznaky ochorenia COVID-19. V prípade ich objavenia rozhoduje o ukončení karantény lekár. Karanténa je povinná aj pre ostatných členov domácnosti bez ohľadu na to, či sú kompletne zaočkovaní alebo prekonali ochorenie COVID-19. 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B) Pojem kontraindikovaná osoba a preukazovanie sa touto skutočnosťou boli zosúladené s odborným usmernením MZ SR.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Ostatné podmienky pre vstup takejto osoby na územie SR zostávajú nezmenené. Teda okrem tejto skutočnosti (tlačivo v prílohe 4 hraničnej vyhlášky) sa musia preukazovať aj potvrdením o negatívnom výsledku RT-PCR testu na ochorenie COVID-19 nie starším ako 72 hodín.</w:t>
            </w:r>
          </w:p>
          <w:p w:rsidR="00B66077" w:rsidRDefault="00B66077">
            <w:pPr>
              <w:pStyle w:val="Normlnywebov"/>
              <w:spacing w:after="240" w:afterAutospacing="0"/>
              <w:rPr>
                <w:rFonts w:ascii="Helvetica" w:hAnsi="Helvetica"/>
                <w:color w:val="333333"/>
                <w:sz w:val="18"/>
                <w:szCs w:val="18"/>
              </w:rPr>
            </w:pPr>
          </w:p>
          <w:p w:rsidR="00B66077" w:rsidRDefault="00B66077">
            <w:pPr>
              <w:pStyle w:val="Normlnywebov"/>
              <w:jc w:val="center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Úrad verejného zdravotníctva Slovenskej republiky</w:t>
            </w:r>
          </w:p>
        </w:tc>
      </w:tr>
    </w:tbl>
    <w:p w:rsidR="00B66077" w:rsidRDefault="00B66077"/>
    <w:sectPr w:rsidR="00B66077" w:rsidSect="003126A1">
      <w:pgSz w:w="11906" w:h="16838" w:code="9"/>
      <w:pgMar w:top="1474" w:right="1077" w:bottom="1474" w:left="1077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C4482"/>
    <w:multiLevelType w:val="multilevel"/>
    <w:tmpl w:val="C6A6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237475"/>
    <w:multiLevelType w:val="multilevel"/>
    <w:tmpl w:val="DA92B4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41DF42F9"/>
    <w:multiLevelType w:val="multilevel"/>
    <w:tmpl w:val="317E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E84F0E"/>
    <w:multiLevelType w:val="multilevel"/>
    <w:tmpl w:val="0BD0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164DB5"/>
    <w:multiLevelType w:val="multilevel"/>
    <w:tmpl w:val="C540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077"/>
    <w:rsid w:val="00042308"/>
    <w:rsid w:val="00055364"/>
    <w:rsid w:val="000A41A8"/>
    <w:rsid w:val="001978F0"/>
    <w:rsid w:val="001A06BE"/>
    <w:rsid w:val="00293B00"/>
    <w:rsid w:val="002A24ED"/>
    <w:rsid w:val="003126A1"/>
    <w:rsid w:val="0036799F"/>
    <w:rsid w:val="00376721"/>
    <w:rsid w:val="003C6B14"/>
    <w:rsid w:val="003D62F0"/>
    <w:rsid w:val="004D3580"/>
    <w:rsid w:val="004E3C04"/>
    <w:rsid w:val="005105CB"/>
    <w:rsid w:val="005501FA"/>
    <w:rsid w:val="00561EE4"/>
    <w:rsid w:val="005B6259"/>
    <w:rsid w:val="006362B3"/>
    <w:rsid w:val="00637DCC"/>
    <w:rsid w:val="0068198F"/>
    <w:rsid w:val="006A0B7E"/>
    <w:rsid w:val="0077252D"/>
    <w:rsid w:val="00807273"/>
    <w:rsid w:val="0088289C"/>
    <w:rsid w:val="008B3C30"/>
    <w:rsid w:val="008C7893"/>
    <w:rsid w:val="008D5FE5"/>
    <w:rsid w:val="00925880"/>
    <w:rsid w:val="00930376"/>
    <w:rsid w:val="00943202"/>
    <w:rsid w:val="00963E3F"/>
    <w:rsid w:val="00A75176"/>
    <w:rsid w:val="00AB6890"/>
    <w:rsid w:val="00AE4AA3"/>
    <w:rsid w:val="00B66077"/>
    <w:rsid w:val="00BC1C18"/>
    <w:rsid w:val="00C24468"/>
    <w:rsid w:val="00C35DF7"/>
    <w:rsid w:val="00C772B5"/>
    <w:rsid w:val="00C90021"/>
    <w:rsid w:val="00CC4B50"/>
    <w:rsid w:val="00D210E1"/>
    <w:rsid w:val="00D71951"/>
    <w:rsid w:val="00DC107E"/>
    <w:rsid w:val="00EA332E"/>
    <w:rsid w:val="00F73BDE"/>
    <w:rsid w:val="00F74301"/>
    <w:rsid w:val="00F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B66077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B66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6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60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B66077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B66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6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6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1499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168867">
                      <w:marLeft w:val="337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inv.sk/swift_data/source/verejna_sprava/vestnik_vlady_sr_rok_2021/vyhlaska_310.pdf" TargetMode="External"/><Relationship Id="rId18" Type="http://schemas.openxmlformats.org/officeDocument/2006/relationships/hyperlink" Target="https://www.minv.sk/swift_data/source/verejna_sprava/vestnik_vlady_sr_rok_2021/vyhlaska_309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uvzsr.sk/index.php?view=article&amp;catid=56:tlaove-spravy&amp;id=4961:informacia-k-novelam-vyhlaok-prevadzky-hp-hranice&amp;tmpl=component&amp;print=1&amp;layout=default&amp;page=&amp;option=com_content&amp;Itemid=62" TargetMode="External"/><Relationship Id="rId12" Type="http://schemas.openxmlformats.org/officeDocument/2006/relationships/hyperlink" Target="https://www.minv.sk/swift_data/source/verejna_sprava/vestnik_vlady_sr_rok_2021/vyhlaska_311.pdf" TargetMode="External"/><Relationship Id="rId17" Type="http://schemas.openxmlformats.org/officeDocument/2006/relationships/hyperlink" Target="https://www.minv.sk/swift_data/source/verejna_sprava/vestnik_vlady_sr_rok_2021/vyhlaska_309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v.sk/swift_data/source/verejna_sprava/vestnik_vlady_sr_rok_2021/vyhlaska_310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uvzsr.sk/index.php?option=com_content&amp;view=article&amp;id=4961:informacia-k-novelam-vyhlaok-prevadzky-hp-hranice&amp;catid=56:tlaove-spravy&amp;Itemid=62" TargetMode="External"/><Relationship Id="rId11" Type="http://schemas.openxmlformats.org/officeDocument/2006/relationships/hyperlink" Target="https://www.uvzsr.sk/index.php?option=com_content&amp;view=category&amp;id=56:tlaove-spravy&amp;layout=blog&amp;Itemid=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inv.sk/swift_data/source/verejna_sprava/vestnik_vlady_sr_rok_2021/vyhlaska_311.pdf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vzsr.sk/index.php?option=com_mailto&amp;tmpl=component&amp;link=174bcabd862de59f5606271d0b6675d731558192" TargetMode="External"/><Relationship Id="rId14" Type="http://schemas.openxmlformats.org/officeDocument/2006/relationships/hyperlink" Target="https://www.health.gov.sk/?covid-19-metodicke-usmerneni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biroova_a</dc:creator>
  <cp:lastModifiedBy>biroova_a</cp:lastModifiedBy>
  <cp:revision>3</cp:revision>
  <dcterms:created xsi:type="dcterms:W3CDTF">2021-12-23T11:54:00Z</dcterms:created>
  <dcterms:modified xsi:type="dcterms:W3CDTF">2021-12-23T13:06:00Z</dcterms:modified>
</cp:coreProperties>
</file>